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0AF6" w14:textId="24776E6F" w:rsidR="00407240" w:rsidRDefault="005A50A7" w:rsidP="00D114A8">
      <w:pPr>
        <w:pStyle w:val="Heading1"/>
        <w:spacing w:before="0"/>
        <w:jc w:val="center"/>
      </w:pPr>
      <w:r w:rsidRPr="000D0C83">
        <w:t>Leave Bank</w:t>
      </w:r>
      <w:r w:rsidR="00407240" w:rsidRPr="000D0C83">
        <w:t xml:space="preserve"> </w:t>
      </w:r>
      <w:r w:rsidR="000632DF">
        <w:t xml:space="preserve">Recipient </w:t>
      </w:r>
      <w:r w:rsidR="00407240" w:rsidRPr="000D0C83">
        <w:t>Checklist</w:t>
      </w:r>
    </w:p>
    <w:p w14:paraId="4BB99364" w14:textId="77777777" w:rsidR="00D114A8" w:rsidRPr="00D114A8" w:rsidRDefault="00D114A8" w:rsidP="00D114A8">
      <w:pPr>
        <w:rPr>
          <w:sz w:val="2"/>
        </w:rPr>
      </w:pPr>
    </w:p>
    <w:p w14:paraId="3F0AD680" w14:textId="581A4805" w:rsidR="0043454D" w:rsidRPr="00D114A8" w:rsidRDefault="00D114A8" w:rsidP="00D114A8">
      <w:pPr>
        <w:spacing w:before="0" w:after="0"/>
        <w:rPr>
          <w:rFonts w:ascii="Calibri" w:hAnsi="Calibri"/>
          <w:sz w:val="22"/>
          <w:szCs w:val="22"/>
        </w:rPr>
      </w:pPr>
      <w:r w:rsidRPr="00D114A8">
        <w:rPr>
          <w:rFonts w:ascii="Calibri" w:hAnsi="Calibri"/>
          <w:caps/>
          <w:sz w:val="22"/>
          <w:szCs w:val="22"/>
        </w:rPr>
        <w:t>P</w:t>
      </w:r>
      <w:r w:rsidRPr="00D114A8">
        <w:rPr>
          <w:rFonts w:ascii="Calibri" w:hAnsi="Calibri"/>
          <w:sz w:val="22"/>
          <w:szCs w:val="22"/>
        </w:rPr>
        <w:t>lease complete this checklist prior to submitting your application.</w:t>
      </w:r>
      <w:r w:rsidRPr="00D114A8">
        <w:rPr>
          <w:rFonts w:ascii="Calibri" w:hAnsi="Calibri"/>
          <w:caps/>
          <w:sz w:val="22"/>
          <w:szCs w:val="22"/>
        </w:rPr>
        <w:t xml:space="preserve"> </w:t>
      </w:r>
      <w:r w:rsidRPr="00D114A8">
        <w:rPr>
          <w:rFonts w:ascii="Calibri" w:hAnsi="Calibri"/>
          <w:sz w:val="22"/>
          <w:szCs w:val="22"/>
        </w:rPr>
        <w:t xml:space="preserve">Avoiding </w:t>
      </w:r>
      <w:r w:rsidR="00BB0EC6">
        <w:rPr>
          <w:rFonts w:ascii="Calibri" w:hAnsi="Calibri"/>
          <w:sz w:val="22"/>
          <w:szCs w:val="22"/>
        </w:rPr>
        <w:t xml:space="preserve">these </w:t>
      </w:r>
      <w:r w:rsidRPr="00D114A8">
        <w:rPr>
          <w:rFonts w:ascii="Calibri" w:hAnsi="Calibri"/>
          <w:sz w:val="22"/>
          <w:szCs w:val="22"/>
        </w:rPr>
        <w:t>common mistakes will help prevent delays from processing your case.</w:t>
      </w:r>
      <w:r w:rsidR="00B20ABF">
        <w:rPr>
          <w:rFonts w:ascii="Calibri" w:hAnsi="Calibri"/>
          <w:sz w:val="22"/>
          <w:szCs w:val="22"/>
        </w:rPr>
        <w:t xml:space="preserve"> Checklist does not need to be submitted with application packet and is for personal use</w:t>
      </w:r>
      <w:r w:rsidR="0059607A">
        <w:rPr>
          <w:rFonts w:ascii="Calibri" w:hAnsi="Calibri"/>
          <w:sz w:val="22"/>
          <w:szCs w:val="22"/>
        </w:rPr>
        <w:t xml:space="preserve"> only</w:t>
      </w:r>
      <w:r w:rsidR="00B20ABF">
        <w:rPr>
          <w:rFonts w:ascii="Calibri" w:hAnsi="Calibri"/>
          <w:sz w:val="22"/>
          <w:szCs w:val="22"/>
        </w:rPr>
        <w:t xml:space="preserve">. </w:t>
      </w:r>
    </w:p>
    <w:p w14:paraId="36591BDD" w14:textId="77777777" w:rsidR="00D114A8" w:rsidRPr="00D114A8" w:rsidRDefault="00D114A8" w:rsidP="00D114A8">
      <w:pPr>
        <w:spacing w:before="0" w:after="0"/>
        <w:rPr>
          <w:rFonts w:ascii="Calibri" w:hAnsi="Calibri"/>
          <w:i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7"/>
        <w:gridCol w:w="8783"/>
      </w:tblGrid>
      <w:tr w:rsidR="007C42A8" w:rsidRPr="000D0C83" w14:paraId="61A33B4F" w14:textId="77777777" w:rsidTr="006D63C1">
        <w:tc>
          <w:tcPr>
            <w:tcW w:w="9350" w:type="dxa"/>
            <w:gridSpan w:val="2"/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D3CE6F" w14:textId="5FAF85E6" w:rsidR="007C42A8" w:rsidRPr="000632DF" w:rsidRDefault="000632DF" w:rsidP="000632DF">
            <w:pPr>
              <w:pStyle w:val="Heading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Required Forms</w:t>
            </w:r>
          </w:p>
        </w:tc>
      </w:tr>
      <w:tr w:rsidR="0033278E" w:rsidRPr="000D0C83" w14:paraId="11D5F408" w14:textId="77777777" w:rsidTr="006D63C1">
        <w:tc>
          <w:tcPr>
            <w:tcW w:w="935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5FF8BC" w14:textId="55CD183F" w:rsidR="0033278E" w:rsidRPr="0033278E" w:rsidRDefault="004C032F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8" w:history="1">
              <w:r w:rsidR="0033278E" w:rsidRPr="00D874AC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Application Form (NIH 2940)</w:t>
              </w:r>
            </w:hyperlink>
          </w:p>
        </w:tc>
      </w:tr>
      <w:tr w:rsidR="006D63C1" w:rsidRPr="000D0C83" w14:paraId="0A7A0D35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8F10DC" w14:textId="307E7AF0" w:rsidR="006D63C1" w:rsidRPr="000D0C83" w:rsidRDefault="006D63C1" w:rsidP="004F4D07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869E77" w14:textId="39E26EF2" w:rsidR="006D63C1" w:rsidRDefault="006D63C1" w:rsidP="004F4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selection has been made in Box 7.</w:t>
            </w:r>
            <w:r w:rsidR="00D721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F4D07" w:rsidRPr="000D0C83" w14:paraId="670A310B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FF7F11" w14:textId="20CD2A39" w:rsidR="004F4D07" w:rsidRPr="000D0C83" w:rsidRDefault="004F4D07" w:rsidP="004F4D07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A9039D" w14:textId="002A615D" w:rsidR="00A44307" w:rsidRDefault="00296B34" w:rsidP="004F4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Dates in </w:t>
            </w:r>
            <w:r w:rsidR="00DD53EF">
              <w:rPr>
                <w:rFonts w:ascii="Calibri" w:hAnsi="Calibri"/>
                <w:sz w:val="22"/>
                <w:szCs w:val="22"/>
              </w:rPr>
              <w:t>B</w:t>
            </w:r>
            <w:r w:rsidR="00332129">
              <w:rPr>
                <w:rFonts w:ascii="Calibri" w:hAnsi="Calibri"/>
                <w:sz w:val="22"/>
                <w:szCs w:val="22"/>
              </w:rPr>
              <w:t xml:space="preserve">ox 6 and </w:t>
            </w:r>
            <w:r w:rsidR="00DD53EF">
              <w:rPr>
                <w:rFonts w:ascii="Calibri" w:hAnsi="Calibri"/>
                <w:sz w:val="22"/>
                <w:szCs w:val="22"/>
              </w:rPr>
              <w:t xml:space="preserve">Box </w:t>
            </w:r>
            <w:r w:rsidR="00332129">
              <w:rPr>
                <w:rFonts w:ascii="Calibri" w:hAnsi="Calibri"/>
                <w:sz w:val="22"/>
                <w:szCs w:val="22"/>
              </w:rPr>
              <w:t>9 match</w:t>
            </w:r>
            <w:r w:rsidR="006D63C1">
              <w:rPr>
                <w:rFonts w:ascii="Calibri" w:hAnsi="Calibri"/>
                <w:sz w:val="22"/>
                <w:szCs w:val="22"/>
              </w:rPr>
              <w:t xml:space="preserve">, if invoking </w:t>
            </w:r>
            <w:r w:rsidR="00D874AC">
              <w:rPr>
                <w:rFonts w:ascii="Calibri" w:hAnsi="Calibri"/>
                <w:sz w:val="22"/>
                <w:szCs w:val="22"/>
              </w:rPr>
              <w:t>Family and Medical Leave Act (</w:t>
            </w:r>
            <w:r w:rsidR="006D63C1">
              <w:rPr>
                <w:rFonts w:ascii="Calibri" w:hAnsi="Calibri"/>
                <w:sz w:val="22"/>
                <w:szCs w:val="22"/>
              </w:rPr>
              <w:t>FMLA</w:t>
            </w:r>
            <w:r w:rsidR="00D874AC">
              <w:rPr>
                <w:rFonts w:ascii="Calibri" w:hAnsi="Calibri"/>
                <w:sz w:val="22"/>
                <w:szCs w:val="22"/>
              </w:rPr>
              <w:t>)</w:t>
            </w:r>
            <w:r w:rsidR="00332129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34381854" w14:textId="6812CA6A" w:rsidR="004F4D07" w:rsidRPr="00DD53EF" w:rsidRDefault="00A44307" w:rsidP="004F4D07">
            <w:pPr>
              <w:rPr>
                <w:rFonts w:ascii="Calibri" w:hAnsi="Calibri"/>
                <w:sz w:val="22"/>
                <w:szCs w:val="22"/>
              </w:rPr>
            </w:pPr>
            <w:r w:rsidRPr="006D63C1">
              <w:rPr>
                <w:rFonts w:ascii="Calibri" w:hAnsi="Calibri"/>
                <w:b/>
                <w:sz w:val="22"/>
                <w:szCs w:val="22"/>
              </w:rPr>
              <w:t>Please note: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5044">
              <w:rPr>
                <w:rFonts w:ascii="Calibri" w:hAnsi="Calibri"/>
                <w:sz w:val="22"/>
                <w:szCs w:val="22"/>
              </w:rPr>
              <w:t>FMLA</w:t>
            </w:r>
            <w:r w:rsidR="003321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21B2">
              <w:rPr>
                <w:rFonts w:ascii="Calibri" w:hAnsi="Calibri"/>
                <w:sz w:val="22"/>
                <w:szCs w:val="22"/>
              </w:rPr>
              <w:t xml:space="preserve">hours </w:t>
            </w:r>
            <w:r w:rsidR="00332129">
              <w:rPr>
                <w:rFonts w:ascii="Calibri" w:hAnsi="Calibri"/>
                <w:sz w:val="22"/>
                <w:szCs w:val="22"/>
              </w:rPr>
              <w:t xml:space="preserve">can only be approved </w:t>
            </w:r>
            <w:r w:rsidR="00D721B2">
              <w:rPr>
                <w:rFonts w:ascii="Calibri" w:hAnsi="Calibri"/>
                <w:sz w:val="22"/>
                <w:szCs w:val="22"/>
              </w:rPr>
              <w:t>that</w:t>
            </w:r>
            <w:r w:rsidR="00332129">
              <w:rPr>
                <w:rFonts w:ascii="Calibri" w:hAnsi="Calibri"/>
                <w:sz w:val="22"/>
                <w:szCs w:val="22"/>
              </w:rPr>
              <w:t xml:space="preserve"> correspond</w:t>
            </w:r>
            <w:r w:rsidR="00D721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2129">
              <w:rPr>
                <w:rFonts w:ascii="Calibri" w:hAnsi="Calibri"/>
                <w:sz w:val="22"/>
                <w:szCs w:val="22"/>
              </w:rPr>
              <w:t xml:space="preserve">with the </w:t>
            </w:r>
            <w:r w:rsidR="00DD53EF">
              <w:rPr>
                <w:rFonts w:ascii="Calibri" w:hAnsi="Calibri"/>
                <w:sz w:val="22"/>
                <w:szCs w:val="22"/>
              </w:rPr>
              <w:t>L</w:t>
            </w:r>
            <w:r w:rsidR="00332129">
              <w:rPr>
                <w:rFonts w:ascii="Calibri" w:hAnsi="Calibri"/>
                <w:sz w:val="22"/>
                <w:szCs w:val="22"/>
              </w:rPr>
              <w:t xml:space="preserve">eave </w:t>
            </w:r>
            <w:r w:rsidR="00DD53EF">
              <w:rPr>
                <w:rFonts w:ascii="Calibri" w:hAnsi="Calibri"/>
                <w:sz w:val="22"/>
                <w:szCs w:val="22"/>
              </w:rPr>
              <w:t>B</w:t>
            </w:r>
            <w:r w:rsidR="00332129">
              <w:rPr>
                <w:rFonts w:ascii="Calibri" w:hAnsi="Calibri"/>
                <w:sz w:val="22"/>
                <w:szCs w:val="22"/>
              </w:rPr>
              <w:t>ank</w:t>
            </w:r>
            <w:r w:rsidR="00DD53EF">
              <w:rPr>
                <w:rFonts w:ascii="Calibri" w:hAnsi="Calibri"/>
                <w:sz w:val="22"/>
                <w:szCs w:val="22"/>
              </w:rPr>
              <w:t xml:space="preserve"> request</w:t>
            </w:r>
            <w:r w:rsidR="00332129">
              <w:rPr>
                <w:rFonts w:ascii="Calibri" w:hAnsi="Calibri"/>
                <w:sz w:val="22"/>
                <w:szCs w:val="22"/>
              </w:rPr>
              <w:t>.</w:t>
            </w:r>
            <w:r w:rsidR="003A5044">
              <w:rPr>
                <w:rFonts w:ascii="Calibri" w:hAnsi="Calibri"/>
                <w:sz w:val="22"/>
                <w:szCs w:val="22"/>
              </w:rPr>
              <w:t xml:space="preserve"> If FMLA</w:t>
            </w:r>
            <w:r w:rsidR="00D721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5044">
              <w:rPr>
                <w:rFonts w:ascii="Calibri" w:hAnsi="Calibri"/>
                <w:sz w:val="22"/>
                <w:szCs w:val="22"/>
              </w:rPr>
              <w:t>is needed before or after the Leave Bank request</w:t>
            </w:r>
            <w:r w:rsidR="00DD53EF">
              <w:rPr>
                <w:rFonts w:ascii="Calibri" w:hAnsi="Calibri"/>
                <w:sz w:val="22"/>
                <w:szCs w:val="22"/>
              </w:rPr>
              <w:t>ed dates</w:t>
            </w:r>
            <w:r w:rsidR="003A5044">
              <w:rPr>
                <w:rFonts w:ascii="Calibri" w:hAnsi="Calibri"/>
                <w:sz w:val="22"/>
                <w:szCs w:val="22"/>
              </w:rPr>
              <w:t>, this time will need to be requested directly through your LAO.</w:t>
            </w:r>
            <w:r w:rsidR="00D874AC">
              <w:rPr>
                <w:rFonts w:ascii="Calibri" w:hAnsi="Calibri"/>
                <w:sz w:val="22"/>
                <w:szCs w:val="22"/>
              </w:rPr>
              <w:t xml:space="preserve"> Visit </w:t>
            </w:r>
            <w:hyperlink r:id="rId9" w:history="1">
              <w:r w:rsidR="00D874AC" w:rsidRPr="00D874AC">
                <w:rPr>
                  <w:rStyle w:val="Hyperlink"/>
                  <w:rFonts w:ascii="Calibri" w:hAnsi="Calibri"/>
                  <w:sz w:val="22"/>
                  <w:szCs w:val="22"/>
                </w:rPr>
                <w:t>FMLA web</w:t>
              </w:r>
              <w:r w:rsidR="00D874AC">
                <w:rPr>
                  <w:rStyle w:val="Hyperlink"/>
                  <w:rFonts w:ascii="Calibri" w:hAnsi="Calibri"/>
                  <w:sz w:val="22"/>
                  <w:szCs w:val="22"/>
                </w:rPr>
                <w:t>page</w:t>
              </w:r>
              <w:r w:rsidR="00D874AC" w:rsidRPr="00D874AC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</w:t>
              </w:r>
            </w:hyperlink>
            <w:r w:rsidR="00D874AC">
              <w:rPr>
                <w:rFonts w:ascii="Calibri" w:hAnsi="Calibri"/>
                <w:sz w:val="22"/>
                <w:szCs w:val="22"/>
              </w:rPr>
              <w:t>for more information.</w:t>
            </w:r>
          </w:p>
        </w:tc>
      </w:tr>
      <w:tr w:rsidR="004F4D07" w:rsidRPr="000D0C83" w14:paraId="41B9248D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EBE62" w14:textId="2A4A7FE8" w:rsidR="004F4D07" w:rsidRPr="000D0C83" w:rsidRDefault="004F4D07" w:rsidP="004F4D07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DA609C" w14:textId="1CAEA4EA" w:rsidR="00B03503" w:rsidRDefault="00332129" w:rsidP="004F4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Start and end dates are consistent with</w:t>
            </w:r>
            <w:r w:rsidR="003B2952">
              <w:rPr>
                <w:rFonts w:ascii="Calibri" w:hAnsi="Calibri"/>
                <w:sz w:val="22"/>
                <w:szCs w:val="22"/>
              </w:rPr>
              <w:t xml:space="preserve"> all</w:t>
            </w:r>
            <w:r>
              <w:rPr>
                <w:rFonts w:ascii="Calibri" w:hAnsi="Calibri"/>
                <w:sz w:val="22"/>
                <w:szCs w:val="22"/>
              </w:rPr>
              <w:t xml:space="preserve"> other documentation</w:t>
            </w:r>
            <w:r w:rsidR="006D63C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32129" w:rsidRPr="000D0C83" w14:paraId="254D3840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8C2DCE" w14:textId="54E2B1EA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C61CD7" w14:textId="24FA1396" w:rsidR="00332129" w:rsidRPr="00713B19" w:rsidRDefault="00332129" w:rsidP="00332129">
            <w:r>
              <w:rPr>
                <w:rFonts w:ascii="Calibri" w:hAnsi="Calibri"/>
                <w:sz w:val="22"/>
                <w:szCs w:val="22"/>
              </w:rPr>
              <w:t>If intermittent: hours</w:t>
            </w:r>
            <w:r w:rsidR="006D63C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days</w:t>
            </w:r>
            <w:r w:rsidR="006D63C1">
              <w:rPr>
                <w:rFonts w:ascii="Calibri" w:hAnsi="Calibri"/>
                <w:sz w:val="22"/>
                <w:szCs w:val="22"/>
              </w:rPr>
              <w:t xml:space="preserve"> per </w:t>
            </w:r>
            <w:r w:rsidR="00C94A92">
              <w:rPr>
                <w:rFonts w:ascii="Calibri" w:hAnsi="Calibri"/>
                <w:sz w:val="22"/>
                <w:szCs w:val="22"/>
              </w:rPr>
              <w:t>day/</w:t>
            </w:r>
            <w:r w:rsidR="006D63C1">
              <w:rPr>
                <w:rFonts w:ascii="Calibri" w:hAnsi="Calibri"/>
                <w:sz w:val="22"/>
                <w:szCs w:val="22"/>
              </w:rPr>
              <w:t>week/month are specified and</w:t>
            </w:r>
            <w:r>
              <w:rPr>
                <w:rFonts w:ascii="Calibri" w:hAnsi="Calibri"/>
                <w:sz w:val="22"/>
                <w:szCs w:val="22"/>
              </w:rPr>
              <w:t xml:space="preserve"> consistent with</w:t>
            </w:r>
            <w:r w:rsidR="00F0440A">
              <w:rPr>
                <w:rFonts w:ascii="Calibri" w:hAnsi="Calibri"/>
                <w:sz w:val="22"/>
                <w:szCs w:val="22"/>
              </w:rPr>
              <w:t xml:space="preserve"> all</w:t>
            </w:r>
            <w:r>
              <w:rPr>
                <w:rFonts w:ascii="Calibri" w:hAnsi="Calibri"/>
                <w:sz w:val="22"/>
                <w:szCs w:val="22"/>
              </w:rPr>
              <w:t xml:space="preserve"> other documentation.</w:t>
            </w:r>
          </w:p>
        </w:tc>
      </w:tr>
      <w:tr w:rsidR="00332129" w:rsidRPr="000D0C83" w14:paraId="2B75E991" w14:textId="77777777" w:rsidTr="006D63C1">
        <w:tc>
          <w:tcPr>
            <w:tcW w:w="9350" w:type="dxa"/>
            <w:gridSpan w:val="2"/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4DB06B" w14:textId="77777777" w:rsidR="00332129" w:rsidRPr="00523DF9" w:rsidRDefault="00332129" w:rsidP="00332129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332129" w:rsidRPr="000D0C83" w14:paraId="2D9D5CF9" w14:textId="77777777" w:rsidTr="006D63C1">
        <w:tc>
          <w:tcPr>
            <w:tcW w:w="935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A2622E" w14:textId="2BA4BF9C" w:rsidR="00332129" w:rsidRPr="0033278E" w:rsidRDefault="004C032F" w:rsidP="00332129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0" w:history="1">
              <w:r w:rsidR="00332129" w:rsidRPr="00D874AC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Authorization of Disclosure of Information (NIH 2923)</w:t>
              </w:r>
            </w:hyperlink>
          </w:p>
        </w:tc>
      </w:tr>
      <w:tr w:rsidR="00DD53EF" w:rsidRPr="000D0C83" w14:paraId="23E0FDDF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1DA017" w14:textId="6EA4A98F" w:rsidR="00DD53EF" w:rsidRPr="000D0C83" w:rsidRDefault="00B20ABF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93744A" w14:textId="0909FD6B" w:rsidR="00DD53EF" w:rsidRPr="00B20ABF" w:rsidRDefault="00FA3060" w:rsidP="00332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 accurate </w:t>
            </w:r>
            <w:r w:rsidR="00B20ABF">
              <w:rPr>
                <w:rFonts w:ascii="Calibri" w:hAnsi="Calibri"/>
                <w:sz w:val="22"/>
                <w:szCs w:val="22"/>
              </w:rPr>
              <w:t xml:space="preserve">phone </w:t>
            </w:r>
            <w:r w:rsidR="00B20ABF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="00B20ABF">
              <w:rPr>
                <w:rFonts w:ascii="Calibri" w:hAnsi="Calibri"/>
                <w:sz w:val="22"/>
                <w:szCs w:val="22"/>
              </w:rPr>
              <w:t>fax number are provided for medical care provider.</w:t>
            </w:r>
            <w:r w:rsidR="00D721B2">
              <w:rPr>
                <w:rFonts w:ascii="Calibri" w:hAnsi="Calibri"/>
                <w:sz w:val="22"/>
                <w:szCs w:val="22"/>
              </w:rPr>
              <w:t xml:space="preserve"> If no fax is available, please provide an email address.</w:t>
            </w:r>
          </w:p>
        </w:tc>
      </w:tr>
      <w:tr w:rsidR="00332129" w:rsidRPr="000D0C83" w14:paraId="51BB46BB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9BF795" w14:textId="32968FE2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2C9E22" w14:textId="09A0FC97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Start and end dates are consistent </w:t>
            </w:r>
            <w:r w:rsidR="00F0440A">
              <w:rPr>
                <w:rFonts w:ascii="Calibri" w:hAnsi="Calibri"/>
                <w:sz w:val="22"/>
                <w:szCs w:val="22"/>
              </w:rPr>
              <w:t>with all</w:t>
            </w:r>
            <w:r>
              <w:rPr>
                <w:rFonts w:ascii="Calibri" w:hAnsi="Calibri"/>
                <w:sz w:val="22"/>
                <w:szCs w:val="22"/>
              </w:rPr>
              <w:t xml:space="preserve"> other documentation.</w:t>
            </w:r>
          </w:p>
        </w:tc>
      </w:tr>
      <w:bookmarkStart w:id="0" w:name="_Hlk40197911"/>
      <w:tr w:rsidR="00332129" w:rsidRPr="000D0C83" w14:paraId="55081A98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C1C2CF" w14:textId="66179AB2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5B84F2" w14:textId="05EEFA70" w:rsidR="00332129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intermittent</w:t>
            </w:r>
            <w:r w:rsidR="006D63C1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hours/days</w:t>
            </w:r>
            <w:r w:rsidR="006D63C1">
              <w:rPr>
                <w:rFonts w:ascii="Calibri" w:hAnsi="Calibri"/>
                <w:sz w:val="22"/>
                <w:szCs w:val="22"/>
              </w:rPr>
              <w:t xml:space="preserve"> pe</w:t>
            </w:r>
            <w:r w:rsidR="00D721B2">
              <w:rPr>
                <w:rFonts w:ascii="Calibri" w:hAnsi="Calibri"/>
                <w:sz w:val="22"/>
                <w:szCs w:val="22"/>
              </w:rPr>
              <w:t>r</w:t>
            </w:r>
            <w:r w:rsidR="006D63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4A92">
              <w:rPr>
                <w:rFonts w:ascii="Calibri" w:hAnsi="Calibri"/>
                <w:sz w:val="22"/>
                <w:szCs w:val="22"/>
              </w:rPr>
              <w:t>day/</w:t>
            </w:r>
            <w:r w:rsidR="006D63C1">
              <w:rPr>
                <w:rFonts w:ascii="Calibri" w:hAnsi="Calibri"/>
                <w:sz w:val="22"/>
                <w:szCs w:val="22"/>
              </w:rPr>
              <w:t>week/month are specified and</w:t>
            </w:r>
            <w:r>
              <w:rPr>
                <w:rFonts w:ascii="Calibri" w:hAnsi="Calibri"/>
                <w:sz w:val="22"/>
                <w:szCs w:val="22"/>
              </w:rPr>
              <w:t xml:space="preserve"> consistent with</w:t>
            </w:r>
            <w:r w:rsidR="00F0440A">
              <w:rPr>
                <w:rFonts w:ascii="Calibri" w:hAnsi="Calibri"/>
                <w:sz w:val="22"/>
                <w:szCs w:val="22"/>
              </w:rPr>
              <w:t xml:space="preserve"> all</w:t>
            </w:r>
            <w:r>
              <w:rPr>
                <w:rFonts w:ascii="Calibri" w:hAnsi="Calibri"/>
                <w:sz w:val="22"/>
                <w:szCs w:val="22"/>
              </w:rPr>
              <w:t xml:space="preserve"> other documentation.</w:t>
            </w:r>
          </w:p>
        </w:tc>
      </w:tr>
      <w:bookmarkEnd w:id="0"/>
      <w:tr w:rsidR="00332129" w:rsidRPr="000D0C83" w14:paraId="53836B4B" w14:textId="77777777" w:rsidTr="006D63C1">
        <w:tc>
          <w:tcPr>
            <w:tcW w:w="9350" w:type="dxa"/>
            <w:gridSpan w:val="2"/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36846E" w14:textId="77777777" w:rsidR="00332129" w:rsidRPr="00523DF9" w:rsidRDefault="00332129" w:rsidP="00332129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332129" w:rsidRPr="000D0C83" w14:paraId="179D74CC" w14:textId="77777777" w:rsidTr="006D63C1">
        <w:tc>
          <w:tcPr>
            <w:tcW w:w="935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7C74E6" w14:textId="29E27762" w:rsidR="00332129" w:rsidRPr="000D0C83" w:rsidRDefault="004C032F" w:rsidP="00332129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332129" w:rsidRPr="00D874AC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Confidential</w:t>
              </w:r>
              <w:r w:rsidR="00332129" w:rsidRPr="00D874AC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</w:t>
              </w:r>
              <w:r w:rsidR="00332129" w:rsidRPr="00D874AC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Medical Documentation</w:t>
              </w:r>
            </w:hyperlink>
            <w:r w:rsidR="0059607A">
              <w:rPr>
                <w:rFonts w:ascii="Calibri" w:hAnsi="Calibri"/>
                <w:b/>
                <w:sz w:val="22"/>
                <w:szCs w:val="22"/>
              </w:rPr>
              <w:t xml:space="preserve"> (not required for appeals or mental health related cases)</w:t>
            </w:r>
          </w:p>
        </w:tc>
      </w:tr>
      <w:tr w:rsidR="00332129" w:rsidRPr="000D0C83" w14:paraId="029462A8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A13F4F" w14:textId="77777777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AB6027" w14:textId="0C7EC923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Includes a</w:t>
            </w:r>
            <w:r w:rsidRPr="000D0C83">
              <w:rPr>
                <w:rFonts w:ascii="Calibri" w:hAnsi="Calibri"/>
                <w:sz w:val="22"/>
                <w:szCs w:val="22"/>
              </w:rPr>
              <w:t xml:space="preserve"> physician/office stamp </w:t>
            </w:r>
            <w:r w:rsidRPr="00B20ABF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0D0C83">
              <w:rPr>
                <w:rFonts w:ascii="Calibri" w:hAnsi="Calibri"/>
                <w:sz w:val="22"/>
                <w:szCs w:val="22"/>
              </w:rPr>
              <w:t xml:space="preserve"> physician letterhead </w:t>
            </w:r>
            <w:r>
              <w:rPr>
                <w:rFonts w:ascii="Calibri" w:hAnsi="Calibri"/>
                <w:sz w:val="22"/>
                <w:szCs w:val="22"/>
              </w:rPr>
              <w:t xml:space="preserve">is </w:t>
            </w:r>
            <w:r w:rsidRPr="000D0C83">
              <w:rPr>
                <w:rFonts w:ascii="Calibri" w:hAnsi="Calibri"/>
                <w:sz w:val="22"/>
                <w:szCs w:val="22"/>
              </w:rPr>
              <w:t>attached</w:t>
            </w:r>
            <w:r>
              <w:rPr>
                <w:rFonts w:ascii="Calibri" w:hAnsi="Calibri"/>
                <w:sz w:val="22"/>
                <w:szCs w:val="22"/>
              </w:rPr>
              <w:t xml:space="preserve">.   </w:t>
            </w:r>
          </w:p>
        </w:tc>
      </w:tr>
      <w:tr w:rsidR="00332129" w:rsidRPr="000D0C83" w14:paraId="19FD176D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997A23" w14:textId="77777777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65BC7E" w14:textId="0653978F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Medical</w:t>
            </w:r>
            <w:r w:rsidRPr="000D0C83">
              <w:rPr>
                <w:rFonts w:ascii="Calibri" w:hAnsi="Calibri"/>
                <w:sz w:val="22"/>
                <w:szCs w:val="22"/>
              </w:rPr>
              <w:t xml:space="preserve"> information </w:t>
            </w:r>
            <w:r w:rsidR="00F0440A">
              <w:rPr>
                <w:rFonts w:ascii="Calibri" w:hAnsi="Calibri"/>
                <w:sz w:val="22"/>
                <w:szCs w:val="22"/>
              </w:rPr>
              <w:t xml:space="preserve">is written </w:t>
            </w:r>
            <w:r w:rsidRPr="000D0C83">
              <w:rPr>
                <w:rFonts w:ascii="Calibri" w:hAnsi="Calibri"/>
                <w:sz w:val="22"/>
                <w:szCs w:val="22"/>
              </w:rPr>
              <w:t>in laymen’s terms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F0440A" w:rsidRPr="000D0C83" w14:paraId="66CFDFE5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7E848D" w14:textId="0F74032C" w:rsidR="00F0440A" w:rsidRPr="000D0C83" w:rsidRDefault="00F0440A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AFD01F" w14:textId="01D151A8" w:rsidR="00F0440A" w:rsidRDefault="00F0440A" w:rsidP="00332129">
            <w:pPr>
              <w:rPr>
                <w:rFonts w:ascii="Calibri" w:hAnsi="Calibri"/>
                <w:sz w:val="22"/>
                <w:szCs w:val="22"/>
              </w:rPr>
            </w:pPr>
            <w:r w:rsidRPr="00713B19">
              <w:rPr>
                <w:rFonts w:ascii="Calibri" w:hAnsi="Calibri"/>
                <w:b/>
                <w:sz w:val="22"/>
                <w:szCs w:val="22"/>
              </w:rPr>
              <w:t>Important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874AC">
              <w:rPr>
                <w:rFonts w:ascii="Calibri" w:hAnsi="Calibri"/>
                <w:sz w:val="22"/>
                <w:szCs w:val="22"/>
              </w:rPr>
              <w:t>Check if m</w:t>
            </w:r>
            <w:r>
              <w:rPr>
                <w:rFonts w:ascii="Calibri" w:hAnsi="Calibri"/>
                <w:sz w:val="22"/>
                <w:szCs w:val="22"/>
              </w:rPr>
              <w:t xml:space="preserve">edical documentation supports what </w:t>
            </w:r>
            <w:r w:rsidR="005524EE">
              <w:rPr>
                <w:rFonts w:ascii="Calibri" w:hAnsi="Calibri"/>
                <w:sz w:val="22"/>
                <w:szCs w:val="22"/>
              </w:rPr>
              <w:t xml:space="preserve">you are </w:t>
            </w:r>
            <w:r>
              <w:rPr>
                <w:rFonts w:ascii="Calibri" w:hAnsi="Calibri"/>
                <w:sz w:val="22"/>
                <w:szCs w:val="22"/>
              </w:rPr>
              <w:t xml:space="preserve">requesting. If it </w:t>
            </w:r>
            <w:r w:rsidR="005524EE">
              <w:rPr>
                <w:rFonts w:ascii="Calibri" w:hAnsi="Calibri"/>
                <w:sz w:val="22"/>
                <w:szCs w:val="22"/>
              </w:rPr>
              <w:t>does not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20ABF">
              <w:rPr>
                <w:rFonts w:ascii="Calibri" w:hAnsi="Calibri"/>
                <w:sz w:val="22"/>
                <w:szCs w:val="22"/>
              </w:rPr>
              <w:t>please speak to</w:t>
            </w:r>
            <w:r>
              <w:rPr>
                <w:rFonts w:ascii="Calibri" w:hAnsi="Calibri"/>
                <w:sz w:val="22"/>
                <w:szCs w:val="22"/>
              </w:rPr>
              <w:t xml:space="preserve"> the doctor </w:t>
            </w:r>
            <w:r w:rsidRPr="00F83220">
              <w:rPr>
                <w:rFonts w:ascii="Calibri" w:hAnsi="Calibri"/>
                <w:i/>
                <w:sz w:val="22"/>
                <w:szCs w:val="22"/>
              </w:rPr>
              <w:t>before</w:t>
            </w:r>
            <w:r>
              <w:rPr>
                <w:rFonts w:ascii="Calibri" w:hAnsi="Calibri"/>
                <w:sz w:val="22"/>
                <w:szCs w:val="22"/>
              </w:rPr>
              <w:t xml:space="preserve"> submitting your application</w:t>
            </w:r>
            <w:r w:rsidR="003A5044">
              <w:rPr>
                <w:rFonts w:ascii="Calibri" w:hAnsi="Calibri"/>
                <w:sz w:val="22"/>
                <w:szCs w:val="22"/>
              </w:rPr>
              <w:t xml:space="preserve">. The </w:t>
            </w:r>
            <w:r w:rsidR="00D874AC">
              <w:rPr>
                <w:rFonts w:ascii="Calibri" w:hAnsi="Calibri"/>
                <w:sz w:val="22"/>
                <w:szCs w:val="22"/>
              </w:rPr>
              <w:t xml:space="preserve">NIH </w:t>
            </w:r>
            <w:r w:rsidR="003A5044">
              <w:rPr>
                <w:rFonts w:ascii="Calibri" w:hAnsi="Calibri"/>
                <w:sz w:val="22"/>
                <w:szCs w:val="22"/>
              </w:rPr>
              <w:t xml:space="preserve">Leave Bank can only approve what is supported in the medical documentation. </w:t>
            </w:r>
          </w:p>
        </w:tc>
      </w:tr>
      <w:tr w:rsidR="00332129" w:rsidRPr="000D0C83" w14:paraId="16A933BC" w14:textId="77777777" w:rsidTr="006D63C1"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8686C" w14:textId="77777777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5E2473" w14:textId="1904ACC2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Start and end dates are consistent with</w:t>
            </w:r>
            <w:r w:rsidR="00F0440A">
              <w:rPr>
                <w:rFonts w:ascii="Calibri" w:hAnsi="Calibri"/>
                <w:sz w:val="22"/>
                <w:szCs w:val="22"/>
              </w:rPr>
              <w:t xml:space="preserve"> all</w:t>
            </w:r>
            <w:r>
              <w:rPr>
                <w:rFonts w:ascii="Calibri" w:hAnsi="Calibri"/>
                <w:sz w:val="22"/>
                <w:szCs w:val="22"/>
              </w:rPr>
              <w:t xml:space="preserve"> other documentation.</w:t>
            </w:r>
          </w:p>
        </w:tc>
      </w:tr>
      <w:tr w:rsidR="00332129" w:rsidRPr="000D0C83" w14:paraId="01BF6D82" w14:textId="77777777" w:rsidTr="006D63C1">
        <w:trPr>
          <w:trHeight w:val="247"/>
        </w:trPr>
        <w:tc>
          <w:tcPr>
            <w:tcW w:w="56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32729C" w14:textId="77777777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 w:rsidRPr="000D0C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8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C032F">
              <w:rPr>
                <w:rFonts w:ascii="Calibri" w:hAnsi="Calibri"/>
                <w:sz w:val="22"/>
                <w:szCs w:val="22"/>
              </w:rPr>
            </w:r>
            <w:r w:rsidR="004C03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0C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76C70F" w14:textId="7B1D3211" w:rsidR="00332129" w:rsidRPr="000D0C83" w:rsidRDefault="00332129" w:rsidP="00332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intermittent</w:t>
            </w:r>
            <w:r w:rsidR="006D63C1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hours/days</w:t>
            </w:r>
            <w:r w:rsidR="006D63C1">
              <w:rPr>
                <w:rFonts w:ascii="Calibri" w:hAnsi="Calibri"/>
                <w:sz w:val="22"/>
                <w:szCs w:val="22"/>
              </w:rPr>
              <w:t xml:space="preserve"> per </w:t>
            </w:r>
            <w:r w:rsidR="00C94A92">
              <w:rPr>
                <w:rFonts w:ascii="Calibri" w:hAnsi="Calibri"/>
                <w:sz w:val="22"/>
                <w:szCs w:val="22"/>
              </w:rPr>
              <w:t>day/</w:t>
            </w:r>
            <w:r w:rsidR="006D63C1">
              <w:rPr>
                <w:rFonts w:ascii="Calibri" w:hAnsi="Calibri"/>
                <w:sz w:val="22"/>
                <w:szCs w:val="22"/>
              </w:rPr>
              <w:t>week/month are specified and</w:t>
            </w:r>
            <w:r>
              <w:rPr>
                <w:rFonts w:ascii="Calibri" w:hAnsi="Calibri"/>
                <w:sz w:val="22"/>
                <w:szCs w:val="22"/>
              </w:rPr>
              <w:t xml:space="preserve"> consistent with </w:t>
            </w:r>
            <w:r w:rsidR="00F0440A">
              <w:rPr>
                <w:rFonts w:ascii="Calibri" w:hAnsi="Calibri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sz w:val="22"/>
                <w:szCs w:val="22"/>
              </w:rPr>
              <w:t>other documentation.</w:t>
            </w:r>
          </w:p>
        </w:tc>
      </w:tr>
      <w:tr w:rsidR="00332129" w14:paraId="05114771" w14:textId="77777777" w:rsidTr="006D63C1">
        <w:tc>
          <w:tcPr>
            <w:tcW w:w="9350" w:type="dxa"/>
            <w:gridSpan w:val="2"/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E8E7CB" w14:textId="11466BB3" w:rsidR="00332129" w:rsidRPr="00523DF9" w:rsidRDefault="00332129" w:rsidP="00332129">
            <w:pPr>
              <w:rPr>
                <w:sz w:val="2"/>
              </w:rPr>
            </w:pPr>
          </w:p>
        </w:tc>
      </w:tr>
    </w:tbl>
    <w:p w14:paraId="3F8E7C17" w14:textId="0CF76CC2" w:rsidR="0059607A" w:rsidRDefault="0059607A" w:rsidP="00D721B2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have questions on completing your Leave Bank recipient application, please contact the NIH Leave Bank Office at 301-443-8393 or </w:t>
      </w:r>
      <w:hyperlink r:id="rId12" w:history="1">
        <w:r w:rsidRPr="000A2606">
          <w:rPr>
            <w:rStyle w:val="Hyperlink"/>
            <w:rFonts w:ascii="Calibri" w:hAnsi="Calibri"/>
            <w:sz w:val="22"/>
            <w:szCs w:val="22"/>
          </w:rPr>
          <w:t>LeaveBank@od.nih.gov</w:t>
        </w:r>
      </w:hyperlink>
      <w:r>
        <w:rPr>
          <w:rFonts w:ascii="Calibri" w:hAnsi="Calibri"/>
          <w:sz w:val="22"/>
          <w:szCs w:val="22"/>
        </w:rPr>
        <w:t xml:space="preserve">. Or visit </w:t>
      </w:r>
      <w:hyperlink r:id="rId13" w:history="1">
        <w:r w:rsidRPr="000A2606">
          <w:rPr>
            <w:rStyle w:val="Hyperlink"/>
            <w:rFonts w:ascii="Calibri" w:hAnsi="Calibri"/>
            <w:sz w:val="22"/>
            <w:szCs w:val="22"/>
          </w:rPr>
          <w:t>https://hr.nih.gov/leavebank</w:t>
        </w:r>
      </w:hyperlink>
      <w:r>
        <w:rPr>
          <w:rFonts w:ascii="Calibri" w:hAnsi="Calibri"/>
          <w:sz w:val="22"/>
          <w:szCs w:val="22"/>
        </w:rPr>
        <w:t>.</w:t>
      </w:r>
    </w:p>
    <w:sectPr w:rsidR="0059607A" w:rsidSect="0043454D">
      <w:headerReference w:type="default" r:id="rId14"/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2570" w14:textId="77777777" w:rsidR="004C032F" w:rsidRDefault="004C032F">
      <w:r>
        <w:separator/>
      </w:r>
    </w:p>
  </w:endnote>
  <w:endnote w:type="continuationSeparator" w:id="0">
    <w:p w14:paraId="7CD79A9F" w14:textId="77777777" w:rsidR="004C032F" w:rsidRDefault="004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1951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ED30" w14:textId="77777777" w:rsidR="004C032F" w:rsidRDefault="004C032F">
      <w:r>
        <w:separator/>
      </w:r>
    </w:p>
  </w:footnote>
  <w:footnote w:type="continuationSeparator" w:id="0">
    <w:p w14:paraId="2FF2B641" w14:textId="77777777" w:rsidR="004C032F" w:rsidRDefault="004C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800" w14:textId="6F237B12" w:rsidR="00D721B2" w:rsidRDefault="00D721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355441" wp14:editId="0E10D50C">
          <wp:simplePos x="0" y="0"/>
          <wp:positionH relativeFrom="margin">
            <wp:posOffset>-22860</wp:posOffset>
          </wp:positionH>
          <wp:positionV relativeFrom="paragraph">
            <wp:posOffset>-167640</wp:posOffset>
          </wp:positionV>
          <wp:extent cx="5966460" cy="55626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4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A7"/>
    <w:rsid w:val="00034557"/>
    <w:rsid w:val="00055625"/>
    <w:rsid w:val="000632DF"/>
    <w:rsid w:val="00080433"/>
    <w:rsid w:val="00082F86"/>
    <w:rsid w:val="00086801"/>
    <w:rsid w:val="00090054"/>
    <w:rsid w:val="000B2010"/>
    <w:rsid w:val="000D0C83"/>
    <w:rsid w:val="000D7D67"/>
    <w:rsid w:val="000F3B2D"/>
    <w:rsid w:val="001001B1"/>
    <w:rsid w:val="001003E1"/>
    <w:rsid w:val="00107685"/>
    <w:rsid w:val="00112E0B"/>
    <w:rsid w:val="00125CCB"/>
    <w:rsid w:val="00137DF3"/>
    <w:rsid w:val="00157CA0"/>
    <w:rsid w:val="001720A2"/>
    <w:rsid w:val="00172448"/>
    <w:rsid w:val="001917FA"/>
    <w:rsid w:val="001B5C06"/>
    <w:rsid w:val="001E3406"/>
    <w:rsid w:val="00267DF9"/>
    <w:rsid w:val="002906E7"/>
    <w:rsid w:val="00296B34"/>
    <w:rsid w:val="002A3F76"/>
    <w:rsid w:val="002F6283"/>
    <w:rsid w:val="003055F2"/>
    <w:rsid w:val="003119FB"/>
    <w:rsid w:val="00311B83"/>
    <w:rsid w:val="0031256D"/>
    <w:rsid w:val="00320630"/>
    <w:rsid w:val="00332129"/>
    <w:rsid w:val="0033278E"/>
    <w:rsid w:val="00340776"/>
    <w:rsid w:val="003444D6"/>
    <w:rsid w:val="003576FF"/>
    <w:rsid w:val="003618B9"/>
    <w:rsid w:val="003714D3"/>
    <w:rsid w:val="003761C5"/>
    <w:rsid w:val="003A1BC2"/>
    <w:rsid w:val="003A5044"/>
    <w:rsid w:val="003B2952"/>
    <w:rsid w:val="003F04D9"/>
    <w:rsid w:val="00407240"/>
    <w:rsid w:val="0041607A"/>
    <w:rsid w:val="0043454D"/>
    <w:rsid w:val="0044543A"/>
    <w:rsid w:val="00454615"/>
    <w:rsid w:val="004567F4"/>
    <w:rsid w:val="00464875"/>
    <w:rsid w:val="0048031C"/>
    <w:rsid w:val="004B0AE9"/>
    <w:rsid w:val="004C032F"/>
    <w:rsid w:val="004F4D07"/>
    <w:rsid w:val="00522532"/>
    <w:rsid w:val="00523DF9"/>
    <w:rsid w:val="005524EE"/>
    <w:rsid w:val="00560949"/>
    <w:rsid w:val="00581A1A"/>
    <w:rsid w:val="0059607A"/>
    <w:rsid w:val="005A50A7"/>
    <w:rsid w:val="005E29C8"/>
    <w:rsid w:val="005F4C42"/>
    <w:rsid w:val="00610858"/>
    <w:rsid w:val="006238C8"/>
    <w:rsid w:val="00643BDC"/>
    <w:rsid w:val="006C1BD5"/>
    <w:rsid w:val="006D1A03"/>
    <w:rsid w:val="006D63C1"/>
    <w:rsid w:val="006E5100"/>
    <w:rsid w:val="00713B19"/>
    <w:rsid w:val="00754382"/>
    <w:rsid w:val="007765DD"/>
    <w:rsid w:val="0078313D"/>
    <w:rsid w:val="00795C10"/>
    <w:rsid w:val="00797844"/>
    <w:rsid w:val="007A6235"/>
    <w:rsid w:val="007C42A8"/>
    <w:rsid w:val="007F0AD8"/>
    <w:rsid w:val="00824ADF"/>
    <w:rsid w:val="00830E62"/>
    <w:rsid w:val="00834456"/>
    <w:rsid w:val="0086778A"/>
    <w:rsid w:val="00891FD6"/>
    <w:rsid w:val="009142CB"/>
    <w:rsid w:val="0096077E"/>
    <w:rsid w:val="00963B22"/>
    <w:rsid w:val="009668D8"/>
    <w:rsid w:val="00970715"/>
    <w:rsid w:val="00980A6C"/>
    <w:rsid w:val="00987EAE"/>
    <w:rsid w:val="00995223"/>
    <w:rsid w:val="009B2759"/>
    <w:rsid w:val="009C0F7C"/>
    <w:rsid w:val="009F0816"/>
    <w:rsid w:val="00A054FF"/>
    <w:rsid w:val="00A23534"/>
    <w:rsid w:val="00A44307"/>
    <w:rsid w:val="00A45F9E"/>
    <w:rsid w:val="00A50321"/>
    <w:rsid w:val="00A51E9F"/>
    <w:rsid w:val="00A735D3"/>
    <w:rsid w:val="00A90460"/>
    <w:rsid w:val="00B03503"/>
    <w:rsid w:val="00B11EE0"/>
    <w:rsid w:val="00B20ABF"/>
    <w:rsid w:val="00B67C5A"/>
    <w:rsid w:val="00B75A27"/>
    <w:rsid w:val="00B97760"/>
    <w:rsid w:val="00BB0EC6"/>
    <w:rsid w:val="00C16870"/>
    <w:rsid w:val="00C34FB6"/>
    <w:rsid w:val="00C36E89"/>
    <w:rsid w:val="00C4126C"/>
    <w:rsid w:val="00C45FDC"/>
    <w:rsid w:val="00C94A92"/>
    <w:rsid w:val="00CA3573"/>
    <w:rsid w:val="00CB47FD"/>
    <w:rsid w:val="00CC59BB"/>
    <w:rsid w:val="00D06DB8"/>
    <w:rsid w:val="00D114A8"/>
    <w:rsid w:val="00D36A80"/>
    <w:rsid w:val="00D64FA6"/>
    <w:rsid w:val="00D721B2"/>
    <w:rsid w:val="00D76319"/>
    <w:rsid w:val="00D827D3"/>
    <w:rsid w:val="00D874AC"/>
    <w:rsid w:val="00DA21A2"/>
    <w:rsid w:val="00DB0C25"/>
    <w:rsid w:val="00DD53EF"/>
    <w:rsid w:val="00DE5986"/>
    <w:rsid w:val="00E061EE"/>
    <w:rsid w:val="00E37280"/>
    <w:rsid w:val="00E41884"/>
    <w:rsid w:val="00EA3E64"/>
    <w:rsid w:val="00EE40E1"/>
    <w:rsid w:val="00F03B50"/>
    <w:rsid w:val="00F0440A"/>
    <w:rsid w:val="00F27301"/>
    <w:rsid w:val="00F3153F"/>
    <w:rsid w:val="00F75172"/>
    <w:rsid w:val="00F83220"/>
    <w:rsid w:val="00F86A05"/>
    <w:rsid w:val="00FA3060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F8F3E"/>
  <w15:docId w15:val="{653211A4-9D19-49BB-A391-3DCCDEAF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596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721B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721B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D721B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721B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nih.gov/sites/default/files/public/documents/benefits/leave/leave-bank/pdf/nih-2940.pdf" TargetMode="External"/><Relationship Id="rId13" Type="http://schemas.openxmlformats.org/officeDocument/2006/relationships/hyperlink" Target="https://hr.nih.gov/leaveb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veBank@od.nih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nih.gov/sites/default/files/public/documents/benefits/leave/leave-bank/pdf/confidential-medical-document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r.nih.gov/sites/default/files/public/documents/benefits/leave/leave-bank/pdf/nih-29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nih.gov/benefits/leave/family-medical-leave-act-fmla/family-and-medical-leav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ossr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7</TotalTime>
  <Pages>1</Pages>
  <Words>315</Words>
  <Characters>1752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Leave Bank Recipient Checklist</vt:lpstr>
    </vt:vector>
  </TitlesOfParts>
  <Company>NIH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Leave Bank Recipient Checklist</dc:title>
  <dc:subject>NIH Leave Bank Recipient Checklist</dc:subject>
  <dc:creator>NIH/OD/OHR/WRD</dc:creator>
  <cp:keywords>Leave Bank, FMLA, recipient, application</cp:keywords>
  <cp:lastModifiedBy>Sun, Jennifer (NIH/OD) [E]</cp:lastModifiedBy>
  <cp:revision>5</cp:revision>
  <cp:lastPrinted>2005-08-26T17:15:00Z</cp:lastPrinted>
  <dcterms:created xsi:type="dcterms:W3CDTF">2022-08-03T22:57:00Z</dcterms:created>
  <dcterms:modified xsi:type="dcterms:W3CDTF">2022-09-22T12:22:00Z</dcterms:modified>
  <cp:category>NIH Leave Bank Documents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